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3" w:sz="0" w:val="none"/>
          <w:left w:color="auto" w:space="0" w:sz="0" w:val="none"/>
          <w:bottom w:color="e74c3c" w:space="3" w:sz="17" w:val="single"/>
          <w:right w:color="auto" w:space="0" w:sz="0" w:val="none"/>
        </w:pBdr>
        <w:shd w:fill="ffffff" w:val="clear"/>
        <w:spacing w:after="0" w:before="0" w:line="288" w:lineRule="auto"/>
        <w:jc w:val="center"/>
        <w:rPr>
          <w:color w:val="00529b"/>
          <w:sz w:val="45"/>
          <w:szCs w:val="45"/>
        </w:rPr>
      </w:pPr>
      <w:bookmarkStart w:colFirst="0" w:colLast="0" w:name="_w7kszd3zwke3" w:id="0"/>
      <w:bookmarkEnd w:id="0"/>
      <w:r w:rsidDel="00000000" w:rsidR="00000000" w:rsidRPr="00000000">
        <w:rPr>
          <w:color w:val="00529b"/>
          <w:sz w:val="45"/>
          <w:szCs w:val="45"/>
          <w:rtl w:val="0"/>
        </w:rPr>
        <w:t xml:space="preserve">2026-2027 </w:t>
      </w:r>
      <w:r w:rsidDel="00000000" w:rsidR="00000000" w:rsidRPr="00000000">
        <w:rPr>
          <w:color w:val="00529b"/>
          <w:sz w:val="45"/>
          <w:szCs w:val="45"/>
          <w:rtl w:val="0"/>
        </w:rPr>
        <w:t xml:space="preserve">Arkansas Nita M. Lowey 21st Century Community Learning Centers Grant Application</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GRANT INFORMATION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720" w:firstLine="0"/>
        <w:rPr/>
      </w:pPr>
      <w:r w:rsidDel="00000000" w:rsidR="00000000" w:rsidRPr="00000000">
        <w:rPr>
          <w:rtl w:val="0"/>
        </w:rPr>
        <w:t xml:space="preserve">The Arkansas Department of Education Division of Elementary and Secondary Education (ADE-DESE) is pleased to announce the release of a Request for Application (RFP) for the Nita M. Lowey 21st Century Community Learning Centers (21st CCLC) competitive grant program.</w:t>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ind w:left="720" w:firstLine="0"/>
        <w:rPr/>
      </w:pPr>
      <w:r w:rsidDel="00000000" w:rsidR="00000000" w:rsidRPr="00000000">
        <w:rPr>
          <w:rtl w:val="0"/>
        </w:rPr>
        <w:t xml:space="preserve">Pending federal funding availability, the 2026-27 Cohort will be awarded a </w:t>
      </w:r>
      <w:r w:rsidDel="00000000" w:rsidR="00000000" w:rsidRPr="00000000">
        <w:rPr>
          <w:b w:val="1"/>
          <w:bCs w:val="1"/>
          <w:rtl w:val="0"/>
        </w:rPr>
        <w:t xml:space="preserve">3-year</w:t>
      </w:r>
      <w:r w:rsidDel="00000000" w:rsidR="00000000" w:rsidRPr="00000000">
        <w:rPr>
          <w:rtl w:val="0"/>
        </w:rPr>
        <w:t xml:space="preserve"> grant to support the creation or expansion of community learning centers that provide academic enrichment during non-school hours for students, particularly students who attend high-poverty and low-performing schools. Funded program supports students to meet state and local academic standards in core subject areas, including reading, literacy, mathematics, and science; provides a broad array of enrichment activities that can complement the regular academic program; and offers literacy and other educational services to the families of participating students. </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rtl w:val="0"/>
        </w:rPr>
        <w:t xml:space="preserve">Approved applications will be awarded $200,000 for the first year. Additional information regarding award amounts, program expectations, and reporting requirements is available in the </w:t>
      </w:r>
      <w:hyperlink r:id="rId6">
        <w:r w:rsidDel="00000000" w:rsidR="00000000" w:rsidRPr="00000000">
          <w:rPr>
            <w:color w:val="1155cc"/>
            <w:u w:val="single"/>
            <w:rtl w:val="0"/>
          </w:rPr>
          <w:t xml:space="preserve">Grant Guidance</w:t>
        </w:r>
      </w:hyperlink>
      <w:r w:rsidDel="00000000" w:rsidR="00000000" w:rsidRPr="00000000">
        <w:rPr>
          <w:rtl w:val="0"/>
        </w:rPr>
        <w:t xml:space="preserve">. Pending federal funding availability, programs remaining in good standing will be provided funding for the full 3-year grant period (Summer 2026 - Spring 2029). </w:t>
      </w:r>
    </w:p>
    <w:p w:rsidR="00000000" w:rsidDel="00000000" w:rsidP="00000000" w:rsidRDefault="00000000" w:rsidRPr="00000000" w14:paraId="0000000B">
      <w:pPr>
        <w:rPr>
          <w:b w:val="1"/>
          <w:bCs w:val="1"/>
          <w:u w:val="single"/>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REQUIREMENTS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ind w:left="720" w:firstLine="0"/>
        <w:rPr/>
      </w:pPr>
      <w:r w:rsidDel="00000000" w:rsidR="00000000" w:rsidRPr="00000000">
        <w:rPr>
          <w:rtl w:val="0"/>
        </w:rPr>
        <w:t xml:space="preserve">Interested applicants </w:t>
      </w:r>
      <w:r w:rsidDel="00000000" w:rsidR="00000000" w:rsidRPr="00000000">
        <w:rPr>
          <w:b w:val="1"/>
          <w:bCs w:val="1"/>
          <w:u w:val="single"/>
          <w:rtl w:val="0"/>
        </w:rPr>
        <w:t xml:space="preserve">must</w:t>
      </w:r>
      <w:r w:rsidDel="00000000" w:rsidR="00000000" w:rsidRPr="00000000">
        <w:rPr>
          <w:rtl w:val="0"/>
        </w:rPr>
        <w:t xml:space="preserve"> complete the </w:t>
      </w:r>
      <w:hyperlink r:id="rId7">
        <w:r w:rsidDel="00000000" w:rsidR="00000000" w:rsidRPr="00000000">
          <w:rPr>
            <w:b w:val="1"/>
            <w:bCs w:val="1"/>
            <w:color w:val="1155cc"/>
            <w:u w:val="single"/>
            <w:rtl w:val="0"/>
          </w:rPr>
          <w:t xml:space="preserve">Intent-to-Apply</w:t>
        </w:r>
      </w:hyperlink>
      <w:r w:rsidDel="00000000" w:rsidR="00000000" w:rsidRPr="00000000">
        <w:rPr>
          <w:rtl w:val="0"/>
        </w:rPr>
        <w:t xml:space="preserve"> form. Applicants are required to submit their Intent-to-Apply between February 20</w:t>
      </w:r>
      <w:r w:rsidDel="00000000" w:rsidR="00000000" w:rsidRPr="00000000">
        <w:rPr>
          <w:rtl w:val="0"/>
        </w:rPr>
        <w:t xml:space="preserve">, 2026, and March 6, 2026</w:t>
      </w:r>
      <w:r w:rsidDel="00000000" w:rsidR="00000000" w:rsidRPr="00000000">
        <w:rPr>
          <w:rtl w:val="0"/>
        </w:rPr>
        <w:t xml:space="preserve">. </w:t>
      </w:r>
    </w:p>
    <w:p w:rsidR="00000000" w:rsidDel="00000000" w:rsidP="00000000" w:rsidRDefault="00000000" w:rsidRPr="00000000" w14:paraId="0000000F">
      <w:pPr>
        <w:ind w:left="720" w:firstLine="0"/>
        <w:rPr>
          <w:i w:val="1"/>
          <w:iCs w:val="1"/>
        </w:rPr>
      </w:pPr>
      <w:r w:rsidDel="00000000" w:rsidR="00000000" w:rsidRPr="00000000">
        <w:rPr>
          <w:i w:val="1"/>
          <w:iCs w:val="1"/>
          <w:rtl w:val="0"/>
        </w:rPr>
        <w:t xml:space="preserve">(</w:t>
      </w:r>
      <w:r w:rsidDel="00000000" w:rsidR="00000000" w:rsidRPr="00000000">
        <w:rPr>
          <w:b w:val="1"/>
          <w:bCs w:val="1"/>
          <w:i w:val="1"/>
          <w:iCs w:val="1"/>
          <w:u w:val="single"/>
          <w:rtl w:val="0"/>
        </w:rPr>
        <w:t xml:space="preserve">Note:</w:t>
      </w:r>
      <w:r w:rsidDel="00000000" w:rsidR="00000000" w:rsidRPr="00000000">
        <w:rPr>
          <w:i w:val="1"/>
          <w:iCs w:val="1"/>
          <w:rtl w:val="0"/>
        </w:rPr>
        <w:t xml:space="preserve"> A Gmail account is required to submit the Intent-to-Apply and the application.) </w:t>
      </w:r>
    </w:p>
    <w:p w:rsidR="00000000" w:rsidDel="00000000" w:rsidP="00000000" w:rsidRDefault="00000000" w:rsidRPr="00000000" w14:paraId="00000010">
      <w:pPr>
        <w:ind w:left="720" w:firstLine="0"/>
        <w:rPr>
          <w:i w:val="1"/>
          <w:iCs w:val="1"/>
        </w:rPr>
      </w:pPr>
      <w:r w:rsidDel="00000000" w:rsidR="00000000" w:rsidRPr="00000000">
        <w:rPr>
          <w:rtl w:val="0"/>
        </w:rPr>
      </w:r>
    </w:p>
    <w:p w:rsidR="00000000" w:rsidDel="00000000" w:rsidP="00000000" w:rsidRDefault="00000000" w:rsidRPr="00000000" w14:paraId="00000011">
      <w:pPr>
        <w:ind w:left="720" w:firstLine="0"/>
        <w:rPr/>
      </w:pPr>
      <w:r w:rsidDel="00000000" w:rsidR="00000000" w:rsidRPr="00000000">
        <w:rPr>
          <w:rtl w:val="0"/>
        </w:rPr>
        <w:t xml:space="preserve">ADE-DESE will notify applicants of approval or denial of the Intent- to-Apply. Applicants with an approved </w:t>
      </w:r>
      <w:r w:rsidDel="00000000" w:rsidR="00000000" w:rsidRPr="00000000">
        <w:rPr>
          <w:rtl w:val="0"/>
        </w:rPr>
        <w:t xml:space="preserve">Intent-to-Apply will receive a link to access the application. Applicants must create a copy of the application to complete. Upon completion, the application link and other required documents must be submitted using the unique form </w:t>
      </w:r>
      <w:r w:rsidDel="00000000" w:rsidR="00000000" w:rsidRPr="00000000">
        <w:rPr>
          <w:rtl w:val="0"/>
        </w:rPr>
        <w:t xml:space="preserve">provided in the approval email. </w:t>
      </w: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ADDITIONAL INFORMATION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rtl w:val="0"/>
        </w:rPr>
        <w:t xml:space="preserve">Grant Applications must be submitted through the online platform no later than </w:t>
      </w:r>
      <w:r w:rsidDel="00000000" w:rsidR="00000000" w:rsidRPr="00000000">
        <w:rPr>
          <w:b w:val="1"/>
          <w:bCs w:val="1"/>
          <w:u w:val="single"/>
          <w:rtl w:val="0"/>
        </w:rPr>
        <w:t xml:space="preserve">April 13</w:t>
      </w:r>
      <w:r w:rsidDel="00000000" w:rsidR="00000000" w:rsidRPr="00000000">
        <w:rPr>
          <w:b w:val="1"/>
          <w:bCs w:val="1"/>
          <w:u w:val="single"/>
          <w:rtl w:val="0"/>
        </w:rPr>
        <w:t xml:space="preserve">, 2026,</w:t>
      </w:r>
      <w:r w:rsidDel="00000000" w:rsidR="00000000" w:rsidRPr="00000000">
        <w:rPr>
          <w:rtl w:val="0"/>
        </w:rPr>
        <w:t xml:space="preserve"> to be considered for eligibility</w:t>
      </w:r>
      <w:r w:rsidDel="00000000" w:rsidR="00000000" w:rsidRPr="00000000">
        <w:rPr>
          <w:rtl w:val="0"/>
        </w:rPr>
        <w:t xml:space="preserve">. A</w:t>
      </w:r>
      <w:r w:rsidDel="00000000" w:rsidR="00000000" w:rsidRPr="00000000">
        <w:rPr>
          <w:rtl w:val="0"/>
        </w:rPr>
        <w:t xml:space="preserve">ll sections of the grant must be completed and achieve an overall grant rating of “Meets Standard” to be considered for funding.</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t xml:space="preserve">Applicants are encouraged to review the </w:t>
      </w:r>
      <w:hyperlink r:id="rId8">
        <w:r w:rsidDel="00000000" w:rsidR="00000000" w:rsidRPr="00000000">
          <w:rPr>
            <w:color w:val="1155cc"/>
            <w:u w:val="single"/>
            <w:rtl w:val="0"/>
          </w:rPr>
          <w:t xml:space="preserve">Grant Guidance</w:t>
        </w:r>
      </w:hyperlink>
      <w:r w:rsidDel="00000000" w:rsidR="00000000" w:rsidRPr="00000000">
        <w:rPr>
          <w:rtl w:val="0"/>
        </w:rPr>
        <w:t xml:space="preserve"> and other resources listed below while completing the application. The ADE-DESE 21st CCLC Program Office will provide virtual technical assistance (TA) meetings to support potential applicants in understanding program guidance and expectations. The virtual TA sessions will be held on the following dates:.</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t xml:space="preserve">February 23, 2026 - Zoom Link - Grant Overview Focus</w:t>
      </w:r>
    </w:p>
    <w:p w:rsidR="00000000" w:rsidDel="00000000" w:rsidP="00000000" w:rsidRDefault="00000000" w:rsidRPr="00000000" w14:paraId="0000001B">
      <w:pPr>
        <w:ind w:left="720" w:firstLine="0"/>
        <w:rPr/>
      </w:pPr>
      <w:r w:rsidDel="00000000" w:rsidR="00000000" w:rsidRPr="00000000">
        <w:rPr>
          <w:rtl w:val="0"/>
        </w:rPr>
        <w:t xml:space="preserve">February 27, 2026 - Zoom Link - Application Focus</w:t>
      </w:r>
    </w:p>
    <w:p w:rsidR="00000000" w:rsidDel="00000000" w:rsidP="00000000" w:rsidRDefault="00000000" w:rsidRPr="00000000" w14:paraId="0000001C">
      <w:pPr>
        <w:ind w:left="720" w:firstLine="0"/>
        <w:rPr/>
      </w:pPr>
      <w:r w:rsidDel="00000000" w:rsidR="00000000" w:rsidRPr="00000000">
        <w:rPr>
          <w:rtl w:val="0"/>
        </w:rPr>
        <w:t xml:space="preserve">March 6, 2026 - Zoom Link - Application Focus</w:t>
      </w:r>
    </w:p>
    <w:p w:rsidR="00000000" w:rsidDel="00000000" w:rsidP="00000000" w:rsidRDefault="00000000" w:rsidRPr="00000000" w14:paraId="0000001D">
      <w:pPr>
        <w:ind w:left="720" w:firstLine="0"/>
        <w:rPr/>
      </w:pPr>
      <w:r w:rsidDel="00000000" w:rsidR="00000000" w:rsidRPr="00000000">
        <w:rPr>
          <w:rtl w:val="0"/>
        </w:rPr>
        <w:t xml:space="preserve">March 13, 2026 - Zoom Link - Application Submission Focus</w:t>
      </w:r>
    </w:p>
    <w:p w:rsidR="00000000" w:rsidDel="00000000" w:rsidP="00000000" w:rsidRDefault="00000000" w:rsidRPr="00000000" w14:paraId="0000001E">
      <w:pPr>
        <w:ind w:left="720" w:firstLine="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F">
      <w:pPr>
        <w:ind w:left="720" w:right="-720" w:firstLine="0"/>
        <w:rPr>
          <w:b w:val="1"/>
          <w:bCs w:val="1"/>
          <w:color w:val="212529"/>
          <w:sz w:val="24"/>
          <w:szCs w:val="24"/>
          <w:u w:val="single"/>
        </w:rPr>
      </w:pPr>
      <w:r w:rsidDel="00000000" w:rsidR="00000000" w:rsidRPr="00000000">
        <w:rPr>
          <w:b w:val="1"/>
          <w:bCs w:val="1"/>
          <w:u w:val="single"/>
          <w:rtl w:val="0"/>
        </w:rPr>
        <w:t xml:space="preserve">Application Timeline</w:t>
      </w:r>
      <w:r w:rsidDel="00000000" w:rsidR="00000000" w:rsidRPr="00000000">
        <w:rPr>
          <w:b w:val="1"/>
          <w:bCs w:val="1"/>
          <w:color w:val="212529"/>
          <w:sz w:val="24"/>
          <w:szCs w:val="24"/>
          <w:u w:val="single"/>
          <w:rtl w:val="0"/>
        </w:rPr>
        <w:t xml:space="preserve"> </w:t>
      </w:r>
    </w:p>
    <w:p w:rsidR="00000000" w:rsidDel="00000000" w:rsidP="00000000" w:rsidRDefault="00000000" w:rsidRPr="00000000" w14:paraId="00000020">
      <w:pPr>
        <w:ind w:left="720" w:right="-720" w:firstLine="0"/>
        <w:rPr>
          <w:b w:val="1"/>
          <w:bCs w:val="1"/>
          <w:color w:val="212529"/>
          <w:sz w:val="24"/>
          <w:szCs w:val="24"/>
          <w:u w:val="single"/>
        </w:rPr>
      </w:pPr>
      <w:r w:rsidDel="00000000" w:rsidR="00000000" w:rsidRPr="00000000">
        <w:rPr>
          <w:rtl w:val="0"/>
        </w:rPr>
      </w:r>
    </w:p>
    <w:p w:rsidR="00000000" w:rsidDel="00000000" w:rsidP="00000000" w:rsidRDefault="00000000" w:rsidRPr="00000000" w14:paraId="00000021">
      <w:pPr>
        <w:ind w:left="720" w:right="-720" w:firstLine="0"/>
        <w:rPr>
          <w:color w:val="212529"/>
          <w:sz w:val="24"/>
          <w:szCs w:val="24"/>
        </w:rPr>
      </w:pPr>
      <w:r w:rsidDel="00000000" w:rsidR="00000000" w:rsidRPr="00000000">
        <w:rPr>
          <w:color w:val="212529"/>
          <w:sz w:val="24"/>
          <w:szCs w:val="24"/>
          <w:rtl w:val="0"/>
        </w:rPr>
        <w:t xml:space="preserve">February 20, 2026</w:t>
      </w:r>
      <w:r w:rsidDel="00000000" w:rsidR="00000000" w:rsidRPr="00000000">
        <w:rPr>
          <w:color w:val="212529"/>
          <w:sz w:val="24"/>
          <w:szCs w:val="24"/>
          <w:rtl w:val="0"/>
        </w:rPr>
        <w:t xml:space="preserve"> - Intent to Apply and Application Released</w:t>
      </w:r>
    </w:p>
    <w:p w:rsidR="00000000" w:rsidDel="00000000" w:rsidP="00000000" w:rsidRDefault="00000000" w:rsidRPr="00000000" w14:paraId="00000022">
      <w:pPr>
        <w:ind w:left="720" w:right="-720" w:firstLine="0"/>
        <w:rPr>
          <w:color w:val="212529"/>
          <w:sz w:val="24"/>
          <w:szCs w:val="24"/>
        </w:rPr>
      </w:pPr>
      <w:r w:rsidDel="00000000" w:rsidR="00000000" w:rsidRPr="00000000">
        <w:rPr>
          <w:color w:val="212529"/>
          <w:sz w:val="24"/>
          <w:szCs w:val="24"/>
          <w:rtl w:val="0"/>
        </w:rPr>
        <w:t xml:space="preserve">March 6, 2026 - Final Date to submit an Intent to Apply </w:t>
      </w:r>
    </w:p>
    <w:p w:rsidR="00000000" w:rsidDel="00000000" w:rsidP="00000000" w:rsidRDefault="00000000" w:rsidRPr="00000000" w14:paraId="00000023">
      <w:pPr>
        <w:ind w:left="720" w:right="-720" w:firstLine="0"/>
        <w:rPr>
          <w:b w:val="1"/>
          <w:bCs w:val="1"/>
          <w:color w:val="212529"/>
          <w:sz w:val="24"/>
          <w:szCs w:val="24"/>
          <w:highlight w:val="yellow"/>
          <w:u w:val="single"/>
        </w:rPr>
      </w:pPr>
      <w:r w:rsidDel="00000000" w:rsidR="00000000" w:rsidRPr="00000000">
        <w:rPr>
          <w:b w:val="1"/>
          <w:bCs w:val="1"/>
          <w:color w:val="212529"/>
          <w:sz w:val="24"/>
          <w:szCs w:val="24"/>
          <w:highlight w:val="yellow"/>
          <w:u w:val="single"/>
          <w:rtl w:val="0"/>
        </w:rPr>
        <w:t xml:space="preserve">April 13, 2026 - 21st CCLC Applications are Due by 11:59 PM CST</w:t>
      </w:r>
    </w:p>
    <w:p w:rsidR="00000000" w:rsidDel="00000000" w:rsidP="00000000" w:rsidRDefault="00000000" w:rsidRPr="00000000" w14:paraId="00000024">
      <w:pPr>
        <w:ind w:left="720" w:right="-720" w:firstLine="0"/>
        <w:rPr>
          <w:color w:val="212529"/>
          <w:sz w:val="24"/>
          <w:szCs w:val="24"/>
        </w:rPr>
      </w:pPr>
      <w:r w:rsidDel="00000000" w:rsidR="00000000" w:rsidRPr="00000000">
        <w:rPr>
          <w:color w:val="212529"/>
          <w:sz w:val="24"/>
          <w:szCs w:val="24"/>
          <w:rtl w:val="0"/>
        </w:rPr>
        <w:t xml:space="preserve">April 15</w:t>
      </w:r>
      <w:r w:rsidDel="00000000" w:rsidR="00000000" w:rsidRPr="00000000">
        <w:rPr>
          <w:color w:val="212529"/>
          <w:sz w:val="24"/>
          <w:szCs w:val="24"/>
          <w:rtl w:val="0"/>
        </w:rPr>
        <w:t xml:space="preserve">, 2026 - Applications Dispersed to Reviewers</w:t>
      </w:r>
    </w:p>
    <w:p w:rsidR="00000000" w:rsidDel="00000000" w:rsidP="00000000" w:rsidRDefault="00000000" w:rsidRPr="00000000" w14:paraId="00000025">
      <w:pPr>
        <w:ind w:left="720" w:right="-720" w:firstLine="0"/>
        <w:rPr>
          <w:color w:val="212529"/>
          <w:sz w:val="24"/>
          <w:szCs w:val="24"/>
        </w:rPr>
      </w:pPr>
      <w:r w:rsidDel="00000000" w:rsidR="00000000" w:rsidRPr="00000000">
        <w:rPr>
          <w:color w:val="212529"/>
          <w:sz w:val="24"/>
          <w:szCs w:val="24"/>
          <w:rtl w:val="0"/>
        </w:rPr>
        <w:t xml:space="preserve">May 1, 2026 - Application Scores and Comments Due</w:t>
      </w:r>
    </w:p>
    <w:p w:rsidR="00000000" w:rsidDel="00000000" w:rsidP="00000000" w:rsidRDefault="00000000" w:rsidRPr="00000000" w14:paraId="00000026">
      <w:pPr>
        <w:ind w:left="720" w:right="-720" w:firstLine="0"/>
        <w:rPr>
          <w:color w:val="212529"/>
          <w:sz w:val="24"/>
          <w:szCs w:val="24"/>
        </w:rPr>
      </w:pPr>
      <w:r w:rsidDel="00000000" w:rsidR="00000000" w:rsidRPr="00000000">
        <w:rPr>
          <w:color w:val="212529"/>
          <w:sz w:val="24"/>
          <w:szCs w:val="24"/>
          <w:rtl w:val="0"/>
        </w:rPr>
        <w:t xml:space="preserve">May 8, 2026 - Awarded Grantees Notified </w:t>
      </w: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t xml:space="preserve">Resources for Application Completion:</w:t>
      </w:r>
    </w:p>
    <w:p w:rsidR="00000000" w:rsidDel="00000000" w:rsidP="00000000" w:rsidRDefault="00000000" w:rsidRPr="00000000" w14:paraId="00000029">
      <w:pPr>
        <w:numPr>
          <w:ilvl w:val="0"/>
          <w:numId w:val="3"/>
        </w:numPr>
        <w:ind w:left="1440" w:hanging="360"/>
        <w:rPr>
          <w:u w:val="none"/>
        </w:rPr>
      </w:pPr>
      <w:hyperlink r:id="rId9">
        <w:r w:rsidDel="00000000" w:rsidR="00000000" w:rsidRPr="00000000">
          <w:rPr>
            <w:color w:val="1155cc"/>
            <w:u w:val="single"/>
            <w:rtl w:val="0"/>
          </w:rPr>
          <w:t xml:space="preserve">Arkansas 21st CCLC Grant Guidance</w:t>
        </w:r>
      </w:hyperlink>
      <w:r w:rsidDel="00000000" w:rsidR="00000000" w:rsidRPr="00000000">
        <w:rPr>
          <w:rtl w:val="0"/>
        </w:rPr>
      </w:r>
    </w:p>
    <w:p w:rsidR="00000000" w:rsidDel="00000000" w:rsidP="00000000" w:rsidRDefault="00000000" w:rsidRPr="00000000" w14:paraId="0000002A">
      <w:pPr>
        <w:numPr>
          <w:ilvl w:val="0"/>
          <w:numId w:val="3"/>
        </w:numPr>
        <w:ind w:left="1440" w:hanging="360"/>
        <w:rPr>
          <w:u w:val="none"/>
        </w:rPr>
      </w:pPr>
      <w:hyperlink r:id="rId10">
        <w:r w:rsidDel="00000000" w:rsidR="00000000" w:rsidRPr="00000000">
          <w:rPr>
            <w:color w:val="1155cc"/>
            <w:u w:val="single"/>
            <w:rtl w:val="0"/>
          </w:rPr>
          <w:t xml:space="preserve">Arkansas 21st CCLC Website</w:t>
        </w:r>
      </w:hyperlink>
      <w:r w:rsidDel="00000000" w:rsidR="00000000" w:rsidRPr="00000000">
        <w:rPr>
          <w:rtl w:val="0"/>
        </w:rPr>
      </w:r>
    </w:p>
    <w:p w:rsidR="00000000" w:rsidDel="00000000" w:rsidP="00000000" w:rsidRDefault="00000000" w:rsidRPr="00000000" w14:paraId="0000002B">
      <w:pPr>
        <w:numPr>
          <w:ilvl w:val="0"/>
          <w:numId w:val="3"/>
        </w:numPr>
        <w:ind w:left="1440" w:hanging="360"/>
        <w:rPr>
          <w:u w:val="none"/>
        </w:rPr>
      </w:pPr>
      <w:hyperlink r:id="rId11">
        <w:r w:rsidDel="00000000" w:rsidR="00000000" w:rsidRPr="00000000">
          <w:rPr>
            <w:color w:val="1155cc"/>
            <w:u w:val="single"/>
            <w:rtl w:val="0"/>
          </w:rPr>
          <w:t xml:space="preserve">Title IV, Part B, of the Elementary and Secondary Education Act (ESEA), as amended by the Every Student Succeeds Act (ESSA) </w:t>
        </w:r>
      </w:hyperlink>
      <w:r w:rsidDel="00000000" w:rsidR="00000000" w:rsidRPr="00000000">
        <w:rPr>
          <w:rtl w:val="0"/>
        </w:rPr>
      </w:r>
    </w:p>
    <w:p w:rsidR="00000000" w:rsidDel="00000000" w:rsidP="00000000" w:rsidRDefault="00000000" w:rsidRPr="00000000" w14:paraId="0000002C">
      <w:pPr>
        <w:numPr>
          <w:ilvl w:val="0"/>
          <w:numId w:val="3"/>
        </w:numPr>
        <w:ind w:left="1440" w:hanging="360"/>
        <w:rPr>
          <w:u w:val="none"/>
        </w:rPr>
      </w:pPr>
      <w:hyperlink r:id="rId12">
        <w:r w:rsidDel="00000000" w:rsidR="00000000" w:rsidRPr="00000000">
          <w:rPr>
            <w:color w:val="1155cc"/>
            <w:u w:val="single"/>
            <w:rtl w:val="0"/>
          </w:rPr>
          <w:t xml:space="preserve">21st CCLC Program Information</w:t>
        </w:r>
      </w:hyperlink>
      <w:r w:rsidDel="00000000" w:rsidR="00000000" w:rsidRPr="00000000">
        <w:rPr>
          <w:rtl w:val="0"/>
        </w:rPr>
      </w:r>
    </w:p>
    <w:p w:rsidR="00000000" w:rsidDel="00000000" w:rsidP="00000000" w:rsidRDefault="00000000" w:rsidRPr="00000000" w14:paraId="0000002D">
      <w:pPr>
        <w:numPr>
          <w:ilvl w:val="0"/>
          <w:numId w:val="3"/>
        </w:numPr>
        <w:ind w:left="1440" w:hanging="360"/>
        <w:rPr>
          <w:u w:val="none"/>
        </w:rPr>
      </w:pPr>
      <w:hyperlink r:id="rId13">
        <w:r w:rsidDel="00000000" w:rsidR="00000000" w:rsidRPr="00000000">
          <w:rPr>
            <w:color w:val="1155cc"/>
            <w:u w:val="single"/>
            <w:rtl w:val="0"/>
          </w:rPr>
          <w:t xml:space="preserve">21st CCLC Non-Regulatory Guidance</w:t>
        </w:r>
      </w:hyperlink>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t xml:space="preserve">All applications receiving an overall rating of</w:t>
      </w:r>
      <w:r w:rsidDel="00000000" w:rsidR="00000000" w:rsidRPr="00000000">
        <w:rPr>
          <w:b w:val="1"/>
          <w:bCs w:val="1"/>
          <w:rtl w:val="0"/>
        </w:rPr>
        <w:t xml:space="preserve"> “Meets Standard”</w:t>
      </w:r>
      <w:r w:rsidDel="00000000" w:rsidR="00000000" w:rsidRPr="00000000">
        <w:rPr>
          <w:rtl w:val="0"/>
        </w:rPr>
        <w:t xml:space="preserve"> </w:t>
      </w:r>
      <w:r w:rsidDel="00000000" w:rsidR="00000000" w:rsidRPr="00000000">
        <w:rPr>
          <w:highlight w:val="yellow"/>
          <w:rtl w:val="0"/>
        </w:rPr>
        <w:t xml:space="preserve">(</w:t>
      </w:r>
      <w:hyperlink r:id="rId14">
        <w:r w:rsidDel="00000000" w:rsidR="00000000" w:rsidRPr="00000000">
          <w:rPr>
            <w:color w:val="1155cc"/>
            <w:highlight w:val="yellow"/>
            <w:u w:val="single"/>
            <w:rtl w:val="0"/>
          </w:rPr>
          <w:t xml:space="preserve">click here for the rubric</w:t>
        </w:r>
      </w:hyperlink>
      <w:r w:rsidDel="00000000" w:rsidR="00000000" w:rsidRPr="00000000">
        <w:rPr>
          <w:highlight w:val="yellow"/>
          <w:rtl w:val="0"/>
        </w:rPr>
        <w:t xml:space="preserve">) </w:t>
      </w:r>
      <w:r w:rsidDel="00000000" w:rsidR="00000000" w:rsidRPr="00000000">
        <w:rPr>
          <w:rtl w:val="0"/>
        </w:rPr>
        <w:t xml:space="preserve">will advance to the priority review phase. Priority points will be awarded based on the criteria below. Detailed information is provided within the application.</w:t>
      </w:r>
    </w:p>
    <w:p w:rsidR="00000000" w:rsidDel="00000000" w:rsidP="00000000" w:rsidRDefault="00000000" w:rsidRPr="00000000" w14:paraId="00000030">
      <w:pPr>
        <w:widowControl w:val="0"/>
        <w:spacing w:line="240" w:lineRule="auto"/>
        <w:ind w:left="360" w:right="360" w:firstLine="0"/>
        <w:rPr/>
      </w:pPr>
      <w:r w:rsidDel="00000000" w:rsidR="00000000" w:rsidRPr="00000000">
        <w:rPr>
          <w:rtl w:val="0"/>
        </w:rPr>
      </w:r>
    </w:p>
    <w:tbl>
      <w:tblPr>
        <w:tblStyle w:val="Table1"/>
        <w:tblW w:w="10215.0" w:type="dxa"/>
        <w:jc w:val="left"/>
        <w:tblInd w:w="370.0" w:type="dxa"/>
        <w:tblBorders>
          <w:top w:color="de8f26" w:space="0" w:sz="4" w:val="single"/>
          <w:left w:color="de8f26" w:space="0" w:sz="4" w:val="single"/>
          <w:bottom w:color="de8f26" w:space="0" w:sz="4" w:val="single"/>
          <w:right w:color="de8f26" w:space="0" w:sz="4" w:val="single"/>
          <w:insideH w:color="de8f26" w:space="0" w:sz="4" w:val="single"/>
          <w:insideV w:color="de8f26" w:space="0" w:sz="4" w:val="single"/>
        </w:tblBorders>
        <w:tblLayout w:type="fixed"/>
        <w:tblLook w:val="0600"/>
      </w:tblPr>
      <w:tblGrid>
        <w:gridCol w:w="7800"/>
        <w:gridCol w:w="2415"/>
        <w:tblGridChange w:id="0">
          <w:tblGrid>
            <w:gridCol w:w="7800"/>
            <w:gridCol w:w="2415"/>
          </w:tblGrid>
        </w:tblGridChange>
      </w:tblGrid>
      <w:tr>
        <w:trPr>
          <w:cantSplit w:val="0"/>
          <w:trHeight w:val="495" w:hRule="atLeast"/>
          <w:tblHeader w:val="0"/>
        </w:trPr>
        <w:tc>
          <w:tcPr>
            <w:tcBorders>
              <w:top w:color="de8f26" w:space="0" w:sz="4" w:val="single"/>
              <w:left w:color="de8f26" w:space="0" w:sz="4" w:val="single"/>
              <w:bottom w:color="de8f26" w:space="0" w:sz="4" w:val="single"/>
              <w:right w:color="ffffff" w:space="0" w:sz="4" w:val="single"/>
            </w:tcBorders>
            <w:shd w:fill="87ceeb"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color w:val="ffffff"/>
                <w:rtl w:val="0"/>
              </w:rPr>
              <w:t xml:space="preserve">Priority Points (awarded by ADE-DESE)</w:t>
            </w:r>
            <w:r w:rsidDel="00000000" w:rsidR="00000000" w:rsidRPr="00000000">
              <w:rPr>
                <w:rtl w:val="0"/>
              </w:rPr>
            </w:r>
          </w:p>
        </w:tc>
        <w:tc>
          <w:tcPr>
            <w:tcBorders>
              <w:top w:color="de8f26" w:space="0" w:sz="4" w:val="single"/>
              <w:left w:color="ffffff" w:space="0" w:sz="4" w:val="single"/>
              <w:bottom w:color="de8f26" w:space="0" w:sz="4" w:val="single"/>
              <w:right w:color="de8f26" w:space="0" w:sz="4" w:val="single"/>
            </w:tcBorders>
            <w:shd w:fill="87ceeb"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right"/>
              <w:rPr/>
            </w:pPr>
            <w:r w:rsidDel="00000000" w:rsidR="00000000" w:rsidRPr="00000000">
              <w:rPr>
                <w:color w:val="ffffff"/>
                <w:rtl w:val="0"/>
              </w:rPr>
              <w:t xml:space="preserve">Possible Points</w:t>
            </w:r>
            <w:r w:rsidDel="00000000" w:rsidR="00000000" w:rsidRPr="00000000">
              <w:rPr>
                <w:rtl w:val="0"/>
              </w:rPr>
            </w:r>
          </w:p>
        </w:tc>
      </w:tr>
      <w:tr>
        <w:trPr>
          <w:cantSplit w:val="0"/>
          <w:trHeight w:val="495" w:hRule="atLeast"/>
          <w:tblHeader w:val="0"/>
        </w:trPr>
        <w:tc>
          <w:tcPr>
            <w:tcBorders>
              <w:top w:color="de8f26" w:space="0" w:sz="4" w:val="single"/>
              <w:left w:color="de8f26" w:space="0" w:sz="4" w:val="single"/>
              <w:bottom w:color="de8f26" w:space="0" w:sz="4" w:val="single"/>
              <w:right w:color="de8f26"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color w:val="333333"/>
                <w:highlight w:val="white"/>
              </w:rPr>
            </w:pPr>
            <w:r w:rsidDel="00000000" w:rsidR="00000000" w:rsidRPr="00000000">
              <w:rPr>
                <w:color w:val="333333"/>
                <w:highlight w:val="white"/>
                <w:rtl w:val="0"/>
              </w:rPr>
              <w:t xml:space="preserve">This application is for a program that has never </w:t>
            </w:r>
            <w:r w:rsidDel="00000000" w:rsidR="00000000" w:rsidRPr="00000000">
              <w:rPr>
                <w:rtl w:val="0"/>
              </w:rPr>
              <w:t xml:space="preserve">received</w:t>
            </w:r>
            <w:r w:rsidDel="00000000" w:rsidR="00000000" w:rsidRPr="00000000">
              <w:rPr>
                <w:color w:val="333333"/>
                <w:highlight w:val="white"/>
                <w:rtl w:val="0"/>
              </w:rPr>
              <w:t xml:space="preserve"> 21st CCLC funding</w:t>
            </w:r>
          </w:p>
        </w:tc>
        <w:tc>
          <w:tcPr>
            <w:tcBorders>
              <w:top w:color="de8f26" w:space="0" w:sz="4" w:val="single"/>
              <w:left w:color="de8f26" w:space="0" w:sz="4" w:val="single"/>
              <w:bottom w:color="de8f26" w:space="0" w:sz="4" w:val="single"/>
              <w:right w:color="de8f26"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right"/>
              <w:rPr>
                <w:color w:val="333333"/>
                <w:highlight w:val="white"/>
              </w:rPr>
            </w:pPr>
            <w:r w:rsidDel="00000000" w:rsidR="00000000" w:rsidRPr="00000000">
              <w:rPr>
                <w:color w:val="333333"/>
                <w:highlight w:val="white"/>
                <w:rtl w:val="0"/>
              </w:rPr>
              <w:t xml:space="preserve">10 points</w:t>
            </w:r>
          </w:p>
        </w:tc>
      </w:tr>
      <w:tr>
        <w:trPr>
          <w:cantSplit w:val="0"/>
          <w:trHeight w:val="495" w:hRule="atLeast"/>
          <w:tblHeader w:val="0"/>
        </w:trPr>
        <w:tc>
          <w:tcPr>
            <w:tcBorders>
              <w:top w:color="de8f26" w:space="0" w:sz="4" w:val="single"/>
              <w:left w:color="de8f26" w:space="0" w:sz="4" w:val="single"/>
              <w:bottom w:color="de8f26" w:space="0" w:sz="4" w:val="single"/>
              <w:right w:color="de8f26"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color w:val="333333"/>
                <w:highlight w:val="white"/>
              </w:rPr>
            </w:pPr>
            <w:r w:rsidDel="00000000" w:rsidR="00000000" w:rsidRPr="00000000">
              <w:rPr>
                <w:color w:val="333333"/>
                <w:highlight w:val="white"/>
                <w:rtl w:val="0"/>
              </w:rPr>
              <w:t xml:space="preserve">This application is for a program located in a county with no 21st CCLC programs. (</w:t>
            </w:r>
            <w:hyperlink r:id="rId15">
              <w:r w:rsidDel="00000000" w:rsidR="00000000" w:rsidRPr="00000000">
                <w:rPr>
                  <w:color w:val="007bff"/>
                  <w:highlight w:val="white"/>
                  <w:u w:val="single"/>
                  <w:rtl w:val="0"/>
                </w:rPr>
                <w:t xml:space="preserve">MAP</w:t>
              </w:r>
            </w:hyperlink>
            <w:r w:rsidDel="00000000" w:rsidR="00000000" w:rsidRPr="00000000">
              <w:rPr>
                <w:color w:val="333333"/>
                <w:highlight w:val="white"/>
                <w:rtl w:val="0"/>
              </w:rPr>
              <w:t xml:space="preserve">)</w:t>
            </w:r>
          </w:p>
        </w:tc>
        <w:tc>
          <w:tcPr>
            <w:tcBorders>
              <w:top w:color="de8f26" w:space="0" w:sz="4" w:val="single"/>
              <w:left w:color="de8f26" w:space="0" w:sz="4" w:val="single"/>
              <w:bottom w:color="de8f26" w:space="0" w:sz="4" w:val="single"/>
              <w:right w:color="de8f26"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right"/>
              <w:rPr>
                <w:color w:val="333333"/>
                <w:highlight w:val="white"/>
              </w:rPr>
            </w:pPr>
            <w:r w:rsidDel="00000000" w:rsidR="00000000" w:rsidRPr="00000000">
              <w:rPr>
                <w:color w:val="333333"/>
                <w:highlight w:val="white"/>
                <w:rtl w:val="0"/>
              </w:rPr>
              <w:t xml:space="preserve">10 Points</w:t>
            </w:r>
          </w:p>
        </w:tc>
      </w:tr>
      <w:tr>
        <w:trPr>
          <w:cantSplit w:val="0"/>
          <w:trHeight w:val="495" w:hRule="atLeast"/>
          <w:tblHeader w:val="0"/>
        </w:trPr>
        <w:tc>
          <w:tcPr>
            <w:tcBorders>
              <w:top w:color="de8f26" w:space="0" w:sz="4" w:val="single"/>
              <w:left w:color="de8f26" w:space="0" w:sz="4" w:val="single"/>
              <w:bottom w:color="de8f26" w:space="0" w:sz="4" w:val="single"/>
              <w:right w:color="de8f26"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color w:val="333333"/>
                <w:highlight w:val="white"/>
              </w:rPr>
            </w:pPr>
            <w:r w:rsidDel="00000000" w:rsidR="00000000" w:rsidRPr="00000000">
              <w:rPr>
                <w:color w:val="333333"/>
                <w:highlight w:val="white"/>
                <w:rtl w:val="0"/>
              </w:rPr>
              <w:t xml:space="preserve">This application is for a program that has no other 21st CCLC program within a 30-mile radius (</w:t>
            </w:r>
            <w:hyperlink r:id="rId16">
              <w:r w:rsidDel="00000000" w:rsidR="00000000" w:rsidRPr="00000000">
                <w:rPr>
                  <w:color w:val="007bff"/>
                  <w:highlight w:val="white"/>
                  <w:u w:val="single"/>
                  <w:rtl w:val="0"/>
                </w:rPr>
                <w:t xml:space="preserve">MAP</w:t>
              </w:r>
            </w:hyperlink>
            <w:r w:rsidDel="00000000" w:rsidR="00000000" w:rsidRPr="00000000">
              <w:rPr>
                <w:color w:val="333333"/>
                <w:highlight w:val="white"/>
                <w:rtl w:val="0"/>
              </w:rPr>
              <w:t xml:space="preserve">)</w:t>
            </w:r>
          </w:p>
        </w:tc>
        <w:tc>
          <w:tcPr>
            <w:tcBorders>
              <w:top w:color="de8f26" w:space="0" w:sz="4" w:val="single"/>
              <w:left w:color="de8f26" w:space="0" w:sz="4" w:val="single"/>
              <w:bottom w:color="de8f26" w:space="0" w:sz="4" w:val="single"/>
              <w:right w:color="de8f26"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right"/>
              <w:rPr>
                <w:color w:val="333333"/>
                <w:highlight w:val="white"/>
              </w:rPr>
            </w:pPr>
            <w:r w:rsidDel="00000000" w:rsidR="00000000" w:rsidRPr="00000000">
              <w:rPr>
                <w:color w:val="333333"/>
                <w:highlight w:val="white"/>
                <w:rtl w:val="0"/>
              </w:rPr>
              <w:t xml:space="preserve">10 points</w:t>
            </w:r>
          </w:p>
        </w:tc>
      </w:tr>
      <w:tr>
        <w:trPr>
          <w:cantSplit w:val="0"/>
          <w:trHeight w:val="495" w:hRule="atLeast"/>
          <w:tblHeader w:val="0"/>
        </w:trPr>
        <w:tc>
          <w:tcPr>
            <w:tcBorders>
              <w:top w:color="de8f26" w:space="0" w:sz="4" w:val="single"/>
              <w:left w:color="de8f26" w:space="0" w:sz="4" w:val="single"/>
              <w:bottom w:color="de8f26" w:space="0" w:sz="4" w:val="single"/>
              <w:right w:color="de8f26"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line="240" w:lineRule="auto"/>
              <w:rPr>
                <w:color w:val="333333"/>
                <w:highlight w:val="white"/>
              </w:rPr>
            </w:pPr>
            <w:r w:rsidDel="00000000" w:rsidR="00000000" w:rsidRPr="00000000">
              <w:rPr>
                <w:color w:val="333333"/>
                <w:highlight w:val="white"/>
                <w:rtl w:val="0"/>
              </w:rPr>
              <w:t xml:space="preserve">This application is a Joint Application between an LEA and Community Based Organization</w:t>
            </w:r>
          </w:p>
        </w:tc>
        <w:tc>
          <w:tcPr>
            <w:tcBorders>
              <w:top w:color="de8f26" w:space="0" w:sz="4" w:val="single"/>
              <w:left w:color="de8f26" w:space="0" w:sz="4" w:val="single"/>
              <w:bottom w:color="de8f26" w:space="0" w:sz="4" w:val="single"/>
              <w:right w:color="de8f26" w:space="0" w:sz="4" w:val="single"/>
            </w:tcBorders>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right"/>
              <w:rPr>
                <w:color w:val="333333"/>
                <w:highlight w:val="white"/>
              </w:rPr>
            </w:pPr>
            <w:r w:rsidDel="00000000" w:rsidR="00000000" w:rsidRPr="00000000">
              <w:rPr>
                <w:color w:val="333333"/>
                <w:highlight w:val="white"/>
                <w:rtl w:val="0"/>
              </w:rPr>
              <w:t xml:space="preserve">5 points </w:t>
            </w:r>
          </w:p>
        </w:tc>
      </w:tr>
      <w:tr>
        <w:trPr>
          <w:cantSplit w:val="0"/>
          <w:trHeight w:val="495" w:hRule="atLeast"/>
          <w:tblHeader w:val="0"/>
        </w:trPr>
        <w:tc>
          <w:tcPr>
            <w:tcBorders>
              <w:top w:color="de8f26" w:space="0" w:sz="4" w:val="single"/>
              <w:left w:color="de8f26" w:space="0" w:sz="4" w:val="single"/>
              <w:bottom w:color="de8f26" w:space="0" w:sz="4" w:val="single"/>
              <w:right w:color="de8f26"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line="240" w:lineRule="auto"/>
              <w:rPr>
                <w:color w:val="333333"/>
                <w:highlight w:val="white"/>
              </w:rPr>
            </w:pPr>
            <w:r w:rsidDel="00000000" w:rsidR="00000000" w:rsidRPr="00000000">
              <w:rPr>
                <w:color w:val="333333"/>
                <w:highlight w:val="white"/>
                <w:rtl w:val="0"/>
              </w:rPr>
              <w:t xml:space="preserve">This application is for a program for a School-Wide Title-1 School</w:t>
            </w:r>
          </w:p>
        </w:tc>
        <w:tc>
          <w:tcPr>
            <w:tcBorders>
              <w:top w:color="de8f26" w:space="0" w:sz="4" w:val="single"/>
              <w:left w:color="de8f26" w:space="0" w:sz="4" w:val="single"/>
              <w:bottom w:color="de8f26" w:space="0" w:sz="4" w:val="single"/>
              <w:right w:color="de8f26" w:space="0" w:sz="4" w:val="single"/>
            </w:tcBorders>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right"/>
              <w:rPr>
                <w:color w:val="333333"/>
                <w:highlight w:val="white"/>
              </w:rPr>
            </w:pPr>
            <w:r w:rsidDel="00000000" w:rsidR="00000000" w:rsidRPr="00000000">
              <w:rPr>
                <w:color w:val="333333"/>
                <w:highlight w:val="white"/>
                <w:rtl w:val="0"/>
              </w:rPr>
              <w:t xml:space="preserve">5 points </w:t>
            </w:r>
          </w:p>
        </w:tc>
      </w:tr>
      <w:tr>
        <w:trPr>
          <w:cantSplit w:val="0"/>
          <w:trHeight w:val="495" w:hRule="atLeast"/>
          <w:tblHeader w:val="0"/>
        </w:trPr>
        <w:tc>
          <w:tcPr>
            <w:tcBorders>
              <w:top w:color="de8f26" w:space="0" w:sz="4" w:val="single"/>
              <w:left w:color="de8f26" w:space="0" w:sz="4" w:val="single"/>
              <w:bottom w:color="de8f26" w:space="0" w:sz="4" w:val="single"/>
              <w:right w:color="de8f26"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line="240" w:lineRule="auto"/>
              <w:rPr>
                <w:color w:val="333333"/>
                <w:highlight w:val="white"/>
              </w:rPr>
            </w:pPr>
            <w:r w:rsidDel="00000000" w:rsidR="00000000" w:rsidRPr="00000000">
              <w:rPr>
                <w:color w:val="333333"/>
                <w:highlight w:val="white"/>
                <w:rtl w:val="0"/>
              </w:rPr>
              <w:t xml:space="preserve">This application describes how evidence-based practices will be used to increase student attendance and intellectual engagement with a focus on literacy improvement.</w:t>
            </w:r>
            <w:r w:rsidDel="00000000" w:rsidR="00000000" w:rsidRPr="00000000">
              <w:rPr>
                <w:rtl w:val="0"/>
              </w:rPr>
            </w:r>
          </w:p>
        </w:tc>
        <w:tc>
          <w:tcPr>
            <w:tcBorders>
              <w:top w:color="de8f26" w:space="0" w:sz="4" w:val="single"/>
              <w:left w:color="de8f26" w:space="0" w:sz="4" w:val="single"/>
              <w:bottom w:color="de8f26" w:space="0" w:sz="4" w:val="single"/>
              <w:right w:color="de8f26" w:space="0" w:sz="4" w:val="single"/>
            </w:tcBorders>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right"/>
              <w:rPr>
                <w:color w:val="333333"/>
                <w:highlight w:val="white"/>
              </w:rPr>
            </w:pPr>
            <w:r w:rsidDel="00000000" w:rsidR="00000000" w:rsidRPr="00000000">
              <w:rPr>
                <w:color w:val="333333"/>
                <w:highlight w:val="white"/>
                <w:rtl w:val="0"/>
              </w:rPr>
              <w:t xml:space="preserve">5 Points</w:t>
            </w:r>
          </w:p>
        </w:tc>
      </w:tr>
      <w:tr>
        <w:trPr>
          <w:cantSplit w:val="0"/>
          <w:trHeight w:val="592.5999999999999" w:hRule="atLeast"/>
          <w:tblHeader w:val="0"/>
        </w:trPr>
        <w:tc>
          <w:tcPr>
            <w:tcBorders>
              <w:top w:color="de8f26" w:space="0" w:sz="4" w:val="single"/>
              <w:left w:color="de8f26" w:space="0" w:sz="4" w:val="single"/>
              <w:bottom w:color="de8f26" w:space="0" w:sz="4" w:val="single"/>
              <w:right w:color="de8f26"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color w:val="333333"/>
                <w:highlight w:val="white"/>
              </w:rPr>
            </w:pPr>
            <w:r w:rsidDel="00000000" w:rsidR="00000000" w:rsidRPr="00000000">
              <w:rPr>
                <w:color w:val="333333"/>
                <w:highlight w:val="white"/>
                <w:rtl w:val="0"/>
              </w:rPr>
              <w:t xml:space="preserve">This application provides programming for the summer (a minimum of 64 hours)</w:t>
            </w:r>
          </w:p>
        </w:tc>
        <w:tc>
          <w:tcPr>
            <w:tcBorders>
              <w:top w:color="de8f26" w:space="0" w:sz="4" w:val="single"/>
              <w:left w:color="de8f26" w:space="0" w:sz="4" w:val="single"/>
              <w:bottom w:color="de8f26" w:space="0" w:sz="4" w:val="single"/>
              <w:right w:color="de8f26" w:space="0" w:sz="4"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right"/>
              <w:rPr>
                <w:color w:val="333333"/>
                <w:highlight w:val="white"/>
              </w:rPr>
            </w:pPr>
            <w:r w:rsidDel="00000000" w:rsidR="00000000" w:rsidRPr="00000000">
              <w:rPr>
                <w:color w:val="333333"/>
                <w:highlight w:val="white"/>
                <w:rtl w:val="0"/>
              </w:rPr>
              <w:t xml:space="preserve">5 Points</w:t>
            </w:r>
          </w:p>
        </w:tc>
      </w:tr>
      <w:tr>
        <w:trPr>
          <w:cantSplit w:val="0"/>
          <w:trHeight w:val="495" w:hRule="atLeast"/>
          <w:tblHeader w:val="0"/>
        </w:trPr>
        <w:tc>
          <w:tcPr>
            <w:tcBorders>
              <w:top w:color="de8f26" w:space="0" w:sz="4" w:val="single"/>
              <w:left w:color="de8f26" w:space="0" w:sz="4" w:val="single"/>
              <w:bottom w:color="de8f26" w:space="0" w:sz="4" w:val="single"/>
              <w:right w:color="de8f26"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b w:val="1"/>
                <w:bCs w:val="1"/>
              </w:rPr>
            </w:pPr>
            <w:r w:rsidDel="00000000" w:rsidR="00000000" w:rsidRPr="00000000">
              <w:rPr>
                <w:b w:val="1"/>
                <w:bCs w:val="1"/>
                <w:rtl w:val="0"/>
              </w:rPr>
              <w:t xml:space="preserve">Possible Priority Points Available</w:t>
            </w:r>
            <w:r w:rsidDel="00000000" w:rsidR="00000000" w:rsidRPr="00000000">
              <w:rPr>
                <w:rtl w:val="0"/>
              </w:rPr>
            </w:r>
          </w:p>
        </w:tc>
        <w:tc>
          <w:tcPr>
            <w:tcBorders>
              <w:top w:color="de8f26" w:space="0" w:sz="4" w:val="single"/>
              <w:left w:color="de8f26" w:space="0" w:sz="4" w:val="single"/>
              <w:bottom w:color="de8f26" w:space="0" w:sz="4" w:val="single"/>
              <w:right w:color="de8f26"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right"/>
              <w:rPr>
                <w:b w:val="1"/>
                <w:bCs w:val="1"/>
              </w:rPr>
            </w:pPr>
            <w:r w:rsidDel="00000000" w:rsidR="00000000" w:rsidRPr="00000000">
              <w:rPr>
                <w:b w:val="1"/>
                <w:bCs w:val="1"/>
                <w:rtl w:val="0"/>
              </w:rPr>
              <w:t xml:space="preserve">50 points</w:t>
            </w:r>
          </w:p>
        </w:tc>
      </w:tr>
      <w:tr>
        <w:trPr>
          <w:cantSplit w:val="0"/>
          <w:trHeight w:val="495" w:hRule="atLeast"/>
          <w:tblHeader w:val="0"/>
        </w:trPr>
        <w:tc>
          <w:tcPr>
            <w:tcBorders>
              <w:top w:color="de8f26" w:space="0" w:sz="4" w:val="single"/>
              <w:left w:color="de8f26" w:space="0" w:sz="4" w:val="single"/>
              <w:bottom w:color="de8f26" w:space="0" w:sz="4" w:val="single"/>
              <w:right w:color="de8f26"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line="240" w:lineRule="auto"/>
              <w:rPr>
                <w:b w:val="1"/>
                <w:bCs w:val="1"/>
              </w:rPr>
            </w:pPr>
            <w:r w:rsidDel="00000000" w:rsidR="00000000" w:rsidRPr="00000000">
              <w:rPr>
                <w:rtl w:val="0"/>
              </w:rPr>
            </w:r>
          </w:p>
        </w:tc>
        <w:tc>
          <w:tcPr>
            <w:tcBorders>
              <w:top w:color="de8f26" w:space="0" w:sz="4" w:val="single"/>
              <w:left w:color="de8f26" w:space="0" w:sz="4" w:val="single"/>
              <w:bottom w:color="de8f26" w:space="0" w:sz="4" w:val="single"/>
              <w:right w:color="de8f26" w:space="0" w:sz="4" w:val="single"/>
            </w:tcBorders>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right"/>
              <w:rPr>
                <w:b w:val="1"/>
                <w:bCs w:val="1"/>
              </w:rPr>
            </w:pPr>
            <w:r w:rsidDel="00000000" w:rsidR="00000000" w:rsidRPr="00000000">
              <w:rPr>
                <w:rtl w:val="0"/>
              </w:rPr>
            </w:r>
          </w:p>
        </w:tc>
      </w:tr>
      <w:tr>
        <w:trPr>
          <w:cantSplit w:val="0"/>
          <w:trHeight w:val="495" w:hRule="atLeast"/>
          <w:tblHeader w:val="0"/>
        </w:trPr>
        <w:tc>
          <w:tcPr>
            <w:tcBorders>
              <w:top w:color="de8f26" w:space="0" w:sz="4" w:val="single"/>
              <w:left w:color="de8f26" w:space="0" w:sz="4" w:val="single"/>
              <w:bottom w:color="de8f26" w:space="0" w:sz="4" w:val="single"/>
              <w:right w:color="ffffff" w:space="0" w:sz="4" w:val="single"/>
            </w:tcBorders>
            <w:shd w:fill="87ceeb"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pPr>
            <w:r w:rsidDel="00000000" w:rsidR="00000000" w:rsidRPr="00000000">
              <w:rPr>
                <w:color w:val="ffffff"/>
                <w:rtl w:val="0"/>
              </w:rPr>
              <w:t xml:space="preserve">Negative Priority Points (awarded by ADE-DESE)</w:t>
            </w:r>
            <w:r w:rsidDel="00000000" w:rsidR="00000000" w:rsidRPr="00000000">
              <w:rPr>
                <w:rtl w:val="0"/>
              </w:rPr>
            </w:r>
          </w:p>
        </w:tc>
        <w:tc>
          <w:tcPr>
            <w:tcBorders>
              <w:top w:color="de8f26" w:space="0" w:sz="4" w:val="single"/>
              <w:left w:color="ffffff" w:space="0" w:sz="4" w:val="single"/>
              <w:bottom w:color="de8f26" w:space="0" w:sz="4" w:val="single"/>
              <w:right w:color="de8f26" w:space="0" w:sz="4" w:val="single"/>
            </w:tcBorders>
            <w:shd w:fill="87ceeb"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right"/>
              <w:rPr/>
            </w:pPr>
            <w:r w:rsidDel="00000000" w:rsidR="00000000" w:rsidRPr="00000000">
              <w:rPr>
                <w:color w:val="ffffff"/>
                <w:rtl w:val="0"/>
              </w:rPr>
              <w:t xml:space="preserve">Possible Points</w:t>
            </w:r>
            <w:r w:rsidDel="00000000" w:rsidR="00000000" w:rsidRPr="00000000">
              <w:rPr>
                <w:rtl w:val="0"/>
              </w:rPr>
            </w:r>
          </w:p>
        </w:tc>
      </w:tr>
      <w:tr>
        <w:trPr>
          <w:cantSplit w:val="0"/>
          <w:trHeight w:val="495" w:hRule="atLeast"/>
          <w:tblHeader w:val="0"/>
        </w:trPr>
        <w:tc>
          <w:tcPr>
            <w:tcBorders>
              <w:top w:color="de8f26" w:space="0" w:sz="4" w:val="single"/>
              <w:left w:color="de8f26" w:space="0" w:sz="4" w:val="single"/>
              <w:bottom w:color="de8f26" w:space="0" w:sz="4" w:val="single"/>
              <w:right w:color="de8f26"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rPr>
                <w:i w:val="1"/>
                <w:iCs w:val="1"/>
              </w:rPr>
            </w:pPr>
            <w:r w:rsidDel="00000000" w:rsidR="00000000" w:rsidRPr="00000000">
              <w:rPr>
                <w:b w:val="1"/>
                <w:bCs w:val="1"/>
                <w:rtl w:val="0"/>
              </w:rPr>
              <w:t xml:space="preserve">This application is for a previously awarded site that did not meet the monthly and yearly required fiscal, programmatic, and program data requirements on time and in an accurate manner.</w:t>
            </w:r>
            <w:r w:rsidDel="00000000" w:rsidR="00000000" w:rsidRPr="00000000">
              <w:rPr>
                <w:i w:val="1"/>
                <w:iCs w:val="1"/>
                <w:rtl w:val="0"/>
              </w:rPr>
              <w:t xml:space="preserve"> </w:t>
            </w:r>
          </w:p>
          <w:p w:rsidR="00000000" w:rsidDel="00000000" w:rsidP="00000000" w:rsidRDefault="00000000" w:rsidRPr="00000000" w14:paraId="00000048">
            <w:pPr>
              <w:spacing w:line="240" w:lineRule="auto"/>
              <w:rPr>
                <w:i w:val="1"/>
                <w:iCs w:val="1"/>
              </w:rPr>
            </w:pPr>
            <w:r w:rsidDel="00000000" w:rsidR="00000000" w:rsidRPr="00000000">
              <w:rPr>
                <w:i w:val="1"/>
                <w:iCs w:val="1"/>
                <w:rtl w:val="0"/>
              </w:rPr>
              <w:t xml:space="preserve">(Negative points will be applied to the applicant who meets this criterion)</w:t>
            </w:r>
          </w:p>
        </w:tc>
        <w:tc>
          <w:tcPr>
            <w:tcBorders>
              <w:top w:color="de8f26" w:space="0" w:sz="4" w:val="single"/>
              <w:left w:color="de8f26" w:space="0" w:sz="4" w:val="single"/>
              <w:bottom w:color="de8f26" w:space="0" w:sz="4" w:val="single"/>
              <w:right w:color="de8f26"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right"/>
              <w:rPr>
                <w:b w:val="1"/>
                <w:bCs w:val="1"/>
              </w:rPr>
            </w:pPr>
            <w:r w:rsidDel="00000000" w:rsidR="00000000" w:rsidRPr="00000000">
              <w:rPr>
                <w:b w:val="1"/>
                <w:bCs w:val="1"/>
                <w:rtl w:val="0"/>
              </w:rPr>
              <w:t xml:space="preserve">- 15 Points</w:t>
            </w:r>
          </w:p>
        </w:tc>
      </w:tr>
    </w:tbl>
    <w:p w:rsidR="00000000" w:rsidDel="00000000" w:rsidP="00000000" w:rsidRDefault="00000000" w:rsidRPr="00000000" w14:paraId="0000004A">
      <w:pPr>
        <w:rPr>
          <w:b w:val="1"/>
          <w:bCs w:val="1"/>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b w:val="1"/>
          <w:bCs w:val="1"/>
          <w:rtl w:val="0"/>
        </w:rPr>
        <w:t xml:space="preserve">ADDITIONAL REQUIREMENTS</w:t>
      </w:r>
    </w:p>
    <w:p w:rsidR="00000000" w:rsidDel="00000000" w:rsidP="00000000" w:rsidRDefault="00000000" w:rsidRPr="00000000" w14:paraId="0000004C">
      <w:pPr>
        <w:rPr>
          <w:b w:val="1"/>
          <w:bCs w:val="1"/>
        </w:rPr>
      </w:pPr>
      <w:r w:rsidDel="00000000" w:rsidR="00000000" w:rsidRPr="00000000">
        <w:rPr>
          <w:rtl w:val="0"/>
        </w:rPr>
      </w:r>
    </w:p>
    <w:p w:rsidR="00000000" w:rsidDel="00000000" w:rsidP="00000000" w:rsidRDefault="00000000" w:rsidRPr="00000000" w14:paraId="0000004D">
      <w:pPr>
        <w:ind w:left="720" w:firstLine="0"/>
        <w:rPr/>
      </w:pPr>
      <w:r w:rsidDel="00000000" w:rsidR="00000000" w:rsidRPr="00000000">
        <w:rPr>
          <w:b w:val="1"/>
          <w:bCs w:val="1"/>
          <w:u w:val="single"/>
          <w:rtl w:val="0"/>
        </w:rPr>
        <w:t xml:space="preserve">All applicants must provide documentation of a Public Notice issued to the community for the targeted school site</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4E">
      <w:pPr>
        <w:ind w:left="720" w:firstLine="0"/>
        <w:rPr/>
      </w:pPr>
      <w:r w:rsidDel="00000000" w:rsidR="00000000" w:rsidRPr="00000000">
        <w:rPr>
          <w:rtl w:val="0"/>
        </w:rPr>
      </w:r>
    </w:p>
    <w:p w:rsidR="00000000" w:rsidDel="00000000" w:rsidP="00000000" w:rsidRDefault="00000000" w:rsidRPr="00000000" w14:paraId="0000004F">
      <w:pPr>
        <w:ind w:left="720" w:firstLine="0"/>
        <w:rPr/>
      </w:pPr>
      <w:r w:rsidDel="00000000" w:rsidR="00000000" w:rsidRPr="00000000">
        <w:rPr>
          <w:rtl w:val="0"/>
        </w:rPr>
        <w:t xml:space="preserve">All awarded applicants are required to have a representative attend both of the following in-person events:</w:t>
      </w:r>
    </w:p>
    <w:p w:rsidR="00000000" w:rsidDel="00000000" w:rsidP="00000000" w:rsidRDefault="00000000" w:rsidRPr="00000000" w14:paraId="00000050">
      <w:pPr>
        <w:numPr>
          <w:ilvl w:val="0"/>
          <w:numId w:val="1"/>
        </w:numPr>
        <w:ind w:left="2160" w:hanging="360"/>
        <w:rPr>
          <w:b w:val="1"/>
          <w:bCs w:val="1"/>
          <w:sz w:val="24"/>
          <w:szCs w:val="24"/>
        </w:rPr>
      </w:pPr>
      <w:r w:rsidDel="00000000" w:rsidR="00000000" w:rsidRPr="00000000">
        <w:rPr>
          <w:b w:val="1"/>
          <w:bCs w:val="1"/>
          <w:sz w:val="24"/>
          <w:szCs w:val="24"/>
          <w:rtl w:val="0"/>
        </w:rPr>
        <w:t xml:space="preserve">New 21st CCLC Programs 2-Day Training </w:t>
      </w:r>
    </w:p>
    <w:p w:rsidR="00000000" w:rsidDel="00000000" w:rsidP="00000000" w:rsidRDefault="00000000" w:rsidRPr="00000000" w14:paraId="00000051">
      <w:pPr>
        <w:ind w:left="1440" w:firstLine="720"/>
        <w:rPr>
          <w:i w:val="1"/>
          <w:iCs w:val="1"/>
          <w:sz w:val="24"/>
          <w:szCs w:val="24"/>
        </w:rPr>
      </w:pPr>
      <w:r w:rsidDel="00000000" w:rsidR="00000000" w:rsidRPr="00000000">
        <w:rPr>
          <w:i w:val="1"/>
          <w:iCs w:val="1"/>
          <w:sz w:val="24"/>
          <w:szCs w:val="24"/>
          <w:rtl w:val="0"/>
        </w:rPr>
        <w:t xml:space="preserve">May 26-27,</w:t>
      </w:r>
      <w:r w:rsidDel="00000000" w:rsidR="00000000" w:rsidRPr="00000000">
        <w:rPr>
          <w:i w:val="1"/>
          <w:iCs w:val="1"/>
          <w:sz w:val="24"/>
          <w:szCs w:val="24"/>
          <w:rtl w:val="0"/>
        </w:rPr>
        <w:t xml:space="preserve"> 202</w:t>
      </w:r>
      <w:r w:rsidDel="00000000" w:rsidR="00000000" w:rsidRPr="00000000">
        <w:rPr>
          <w:i w:val="1"/>
          <w:iCs w:val="1"/>
          <w:sz w:val="24"/>
          <w:szCs w:val="24"/>
          <w:rtl w:val="0"/>
        </w:rPr>
        <w:t xml:space="preserve">6 - Little Rock, AR</w:t>
      </w:r>
    </w:p>
    <w:p w:rsidR="00000000" w:rsidDel="00000000" w:rsidP="00000000" w:rsidRDefault="00000000" w:rsidRPr="00000000" w14:paraId="00000052">
      <w:pPr>
        <w:numPr>
          <w:ilvl w:val="0"/>
          <w:numId w:val="2"/>
        </w:numPr>
        <w:ind w:left="2160" w:hanging="360"/>
        <w:rPr>
          <w:b w:val="1"/>
          <w:bCs w:val="1"/>
          <w:sz w:val="24"/>
          <w:szCs w:val="24"/>
        </w:rPr>
      </w:pPr>
      <w:r w:rsidDel="00000000" w:rsidR="00000000" w:rsidRPr="00000000">
        <w:rPr>
          <w:b w:val="1"/>
          <w:bCs w:val="1"/>
          <w:sz w:val="24"/>
          <w:szCs w:val="24"/>
          <w:rtl w:val="0"/>
        </w:rPr>
        <w:t xml:space="preserve">Summer 21st CCLC 2-Day Institute </w:t>
      </w:r>
    </w:p>
    <w:p w:rsidR="00000000" w:rsidDel="00000000" w:rsidP="00000000" w:rsidRDefault="00000000" w:rsidRPr="00000000" w14:paraId="00000053">
      <w:pPr>
        <w:ind w:left="1440" w:firstLine="720"/>
        <w:rPr>
          <w:i w:val="1"/>
          <w:iCs w:val="1"/>
        </w:rPr>
      </w:pPr>
      <w:r w:rsidDel="00000000" w:rsidR="00000000" w:rsidRPr="00000000">
        <w:rPr>
          <w:i w:val="1"/>
          <w:iCs w:val="1"/>
          <w:sz w:val="24"/>
          <w:szCs w:val="24"/>
          <w:rtl w:val="0"/>
        </w:rPr>
        <w:t xml:space="preserve">June 10-11, 202</w:t>
      </w:r>
      <w:r w:rsidDel="00000000" w:rsidR="00000000" w:rsidRPr="00000000">
        <w:rPr>
          <w:i w:val="1"/>
          <w:iCs w:val="1"/>
          <w:sz w:val="24"/>
          <w:szCs w:val="24"/>
          <w:rtl w:val="0"/>
        </w:rPr>
        <w:t xml:space="preserve">6 - Hot Springs, AR</w:t>
      </w:r>
      <w:r w:rsidDel="00000000" w:rsidR="00000000" w:rsidRPr="00000000">
        <w:rPr>
          <w:i w:val="1"/>
          <w:iCs w:val="1"/>
          <w:rtl w:val="0"/>
        </w:rPr>
        <w:t xml:space="preserve">. </w:t>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ind w:left="720" w:firstLine="0"/>
        <w:rPr/>
      </w:pPr>
      <w:r w:rsidDel="00000000" w:rsidR="00000000" w:rsidRPr="00000000">
        <w:rPr>
          <w:rtl w:val="0"/>
        </w:rPr>
        <w:t xml:space="preserve">Funded programs </w:t>
      </w:r>
      <w:r w:rsidDel="00000000" w:rsidR="00000000" w:rsidRPr="00000000">
        <w:rPr>
          <w:rtl w:val="0"/>
        </w:rPr>
        <w:t xml:space="preserve">must begin services no later than </w:t>
      </w:r>
      <w:r w:rsidDel="00000000" w:rsidR="00000000" w:rsidRPr="00000000">
        <w:rPr>
          <w:b w:val="1"/>
          <w:bCs w:val="1"/>
          <w:rtl w:val="0"/>
        </w:rPr>
        <w:t xml:space="preserve">October 1, 2026</w:t>
      </w:r>
      <w:r w:rsidDel="00000000" w:rsidR="00000000" w:rsidRPr="00000000">
        <w:rPr>
          <w:rtl w:val="0"/>
        </w:rPr>
        <w:t xml:space="preserve">. Grant Funds may be expended beginning May 10, 2026.</w:t>
      </w:r>
    </w:p>
    <w:p w:rsidR="00000000" w:rsidDel="00000000" w:rsidP="00000000" w:rsidRDefault="00000000" w:rsidRPr="00000000" w14:paraId="00000056">
      <w:pPr>
        <w:ind w:left="720" w:firstLine="0"/>
        <w:rPr/>
      </w:pPr>
      <w:r w:rsidDel="00000000" w:rsidR="00000000" w:rsidRPr="00000000">
        <w:rPr>
          <w:rtl w:val="0"/>
        </w:rPr>
        <w:t xml:space="preserve"> </w:t>
      </w:r>
    </w:p>
    <w:p w:rsidR="00000000" w:rsidDel="00000000" w:rsidP="00000000" w:rsidRDefault="00000000" w:rsidRPr="00000000" w14:paraId="00000057">
      <w:pPr>
        <w:ind w:left="720" w:firstLine="0"/>
        <w:rPr/>
      </w:pPr>
      <w:r w:rsidDel="00000000" w:rsidR="00000000" w:rsidRPr="00000000">
        <w:rPr>
          <w:rtl w:val="0"/>
        </w:rPr>
        <w:t xml:space="preserve">Attachments:</w:t>
      </w:r>
    </w:p>
    <w:p w:rsidR="00000000" w:rsidDel="00000000" w:rsidP="00000000" w:rsidRDefault="00000000" w:rsidRPr="00000000" w14:paraId="00000058">
      <w:pPr>
        <w:ind w:left="720" w:firstLine="0"/>
        <w:rPr/>
      </w:pPr>
      <w:hyperlink r:id="rId17">
        <w:r w:rsidDel="00000000" w:rsidR="00000000" w:rsidRPr="00000000">
          <w:rPr>
            <w:color w:val="1155cc"/>
            <w:u w:val="single"/>
            <w:rtl w:val="0"/>
          </w:rPr>
          <w:t xml:space="preserve">Intent-to-Apply Form</w:t>
        </w:r>
      </w:hyperlink>
      <w:r w:rsidDel="00000000" w:rsidR="00000000" w:rsidRPr="00000000">
        <w:rPr>
          <w:rtl w:val="0"/>
        </w:rPr>
      </w:r>
    </w:p>
    <w:p w:rsidR="00000000" w:rsidDel="00000000" w:rsidP="00000000" w:rsidRDefault="00000000" w:rsidRPr="00000000" w14:paraId="00000059">
      <w:pPr>
        <w:ind w:left="720" w:firstLine="0"/>
        <w:rPr/>
      </w:pPr>
      <w:hyperlink r:id="rId18">
        <w:r w:rsidDel="00000000" w:rsidR="00000000" w:rsidRPr="00000000">
          <w:rPr>
            <w:color w:val="1155cc"/>
            <w:u w:val="single"/>
            <w:rtl w:val="0"/>
          </w:rPr>
          <w:t xml:space="preserve">Grant Guidance</w:t>
        </w:r>
      </w:hyperlink>
      <w:r w:rsidDel="00000000" w:rsidR="00000000" w:rsidRPr="00000000">
        <w:rPr>
          <w:rtl w:val="0"/>
        </w:rPr>
      </w:r>
    </w:p>
    <w:p w:rsidR="00000000" w:rsidDel="00000000" w:rsidP="00000000" w:rsidRDefault="00000000" w:rsidRPr="00000000" w14:paraId="0000005A">
      <w:pPr>
        <w:ind w:left="720" w:firstLine="0"/>
        <w:rPr/>
      </w:pPr>
      <w:hyperlink r:id="rId19">
        <w:r w:rsidDel="00000000" w:rsidR="00000000" w:rsidRPr="00000000">
          <w:rPr>
            <w:color w:val="1155cc"/>
            <w:u w:val="single"/>
            <w:rtl w:val="0"/>
          </w:rPr>
          <w:t xml:space="preserve">Application Submission Link</w:t>
        </w:r>
      </w:hyperlink>
      <w:r w:rsidDel="00000000" w:rsidR="00000000" w:rsidRPr="00000000">
        <w:rPr>
          <w:rtl w:val="0"/>
        </w:rPr>
      </w:r>
    </w:p>
    <w:p w:rsidR="00000000" w:rsidDel="00000000" w:rsidP="00000000" w:rsidRDefault="00000000" w:rsidRPr="00000000" w14:paraId="0000005B">
      <w:pPr>
        <w:ind w:left="720" w:firstLine="0"/>
        <w:rPr/>
      </w:pPr>
      <w:hyperlink r:id="rId20">
        <w:r w:rsidDel="00000000" w:rsidR="00000000" w:rsidRPr="00000000">
          <w:rPr>
            <w:color w:val="1155cc"/>
            <w:u w:val="single"/>
            <w:rtl w:val="0"/>
          </w:rPr>
          <w:t xml:space="preserve">Application Rubric</w:t>
        </w:r>
      </w:hyperlink>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sectPr>
      <w:pgSz w:h="15840" w:w="12240" w:orient="portrait"/>
      <w:pgMar w:bottom="720" w:top="720" w:left="72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MhHXBQo76uYsLEhn9bUjlvY04k64CGcLC-zyO99RFmA/edit?tab=t.0" TargetMode="External"/><Relationship Id="rId11" Type="http://schemas.openxmlformats.org/officeDocument/2006/relationships/hyperlink" Target="https://drive.google.com/file/d/1m4Cq6UUtUeeGeGIBCUs3nASo1zV1mWav/view?usp=drive_link" TargetMode="External"/><Relationship Id="rId10" Type="http://schemas.openxmlformats.org/officeDocument/2006/relationships/hyperlink" Target="https://dese.ade.arkansas.gov/Offices/Federal-Programs/federal-programs/nita-m-lowey---21st-century-community-learning-centers" TargetMode="External"/><Relationship Id="rId13" Type="http://schemas.openxmlformats.org/officeDocument/2006/relationships/hyperlink" Target="https://www.ed.gov/sites/ed/files/2024-09/OESE%2021st%20CCLC%20Non-Regulatory%20Guidance%202024.pdf" TargetMode="External"/><Relationship Id="rId12" Type="http://schemas.openxmlformats.org/officeDocument/2006/relationships/hyperlink" Target="https://oese.ed.gov/offices/office-of-formula-grants/school-support-and-accountability/21st-century-community-learning-cent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aYnW_A7AnLf_al8-W3r4V_aU-wx6DHQA/edit" TargetMode="External"/><Relationship Id="rId15" Type="http://schemas.openxmlformats.org/officeDocument/2006/relationships/hyperlink" Target="https://www.google.com/maps/d/u/0/edit?mid=1wOI4nnq0p8n7WfnfejAl0CPWL1oBNhU&amp;ll=35.082246948640346%2C-92.67055012741946&amp;z=8" TargetMode="External"/><Relationship Id="rId14" Type="http://schemas.openxmlformats.org/officeDocument/2006/relationships/hyperlink" Target="https://docs.google.com/document/d/1MhHXBQo76uYsLEhn9bUjlvY04k64CGcLC-zyO99RFmA/edit?tab=t.0" TargetMode="External"/><Relationship Id="rId17" Type="http://schemas.openxmlformats.org/officeDocument/2006/relationships/hyperlink" Target="https://docs.google.com/forms/d/e/1FAIpQLSfX6q41yWUod_uSl50apINtJV_Iu8r2GQjkCmvPJPnXz5nm5A/closedform" TargetMode="External"/><Relationship Id="rId16" Type="http://schemas.openxmlformats.org/officeDocument/2006/relationships/hyperlink" Target="https://www.google.com/maps/d/u/0/edit?mid=1wOI4nnq0p8n7WfnfejAl0CPWL1oBNhU&amp;ll=35.082246948640346%2C-92.67055012741946&amp;z=8" TargetMode="External"/><Relationship Id="rId5" Type="http://schemas.openxmlformats.org/officeDocument/2006/relationships/styles" Target="styles.xml"/><Relationship Id="rId19" Type="http://schemas.openxmlformats.org/officeDocument/2006/relationships/hyperlink" Target="https://docs.google.com/forms/d/e/1FAIpQLScgV02SVXAVjAMg9S3uR7pdZwokdInCkbvfZQ_sOX0x9jiLYA/viewform?usp=publish-editor" TargetMode="External"/><Relationship Id="rId6" Type="http://schemas.openxmlformats.org/officeDocument/2006/relationships/hyperlink" Target="https://docs.google.com/document/d/1aYnW_A7AnLf_al8-W3r4V_aU-wx6DHQA/edit" TargetMode="External"/><Relationship Id="rId18" Type="http://schemas.openxmlformats.org/officeDocument/2006/relationships/hyperlink" Target="https://docs.google.com/document/d/1aYnW_A7AnLf_al8-W3r4V_aU-wx6DHQA/edit" TargetMode="External"/><Relationship Id="rId7" Type="http://schemas.openxmlformats.org/officeDocument/2006/relationships/hyperlink" Target="https://docs.google.com/forms/d/e/1FAIpQLSfX6q41yWUod_uSl50apINtJV_Iu8r2GQjkCmvPJPnXz5nm5A/closedform" TargetMode="External"/><Relationship Id="rId8" Type="http://schemas.openxmlformats.org/officeDocument/2006/relationships/hyperlink" Target="https://docs.google.com/document/d/1aYnW_A7AnLf_al8-W3r4V_aU-wx6DHQA/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